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8A4" w:rsidRPr="004A1E40" w:rsidRDefault="004768A4" w:rsidP="004768A4">
      <w:pPr>
        <w:pStyle w:val="ShortOutlineStyle2"/>
        <w:rPr>
          <w:vanish/>
          <w:color w:val="FF0000"/>
        </w:rPr>
      </w:pPr>
      <w:bookmarkStart w:id="0" w:name="_Toc532859559"/>
      <w:r>
        <w:t>Rule 3022-1</w:t>
      </w:r>
      <w:r>
        <w:tab/>
      </w:r>
      <w:r w:rsidRPr="005A4B24">
        <w:rPr>
          <w:u w:val="single"/>
        </w:rPr>
        <w:t>Closing of Chapter 11 Cases</w:t>
      </w:r>
      <w:bookmarkEnd w:id="0"/>
    </w:p>
    <w:p w:rsidR="004768A4" w:rsidRPr="005A4B24" w:rsidRDefault="004768A4" w:rsidP="004768A4">
      <w:pPr>
        <w:pStyle w:val="ShortOutlineStyle3"/>
      </w:pPr>
    </w:p>
    <w:p w:rsidR="004768A4" w:rsidRDefault="004768A4" w:rsidP="004768A4">
      <w:pPr>
        <w:pStyle w:val="ShortOutlineStyle3"/>
        <w:numPr>
          <w:ilvl w:val="2"/>
          <w:numId w:val="2"/>
        </w:numPr>
      </w:pPr>
      <w:r w:rsidRPr="005A4B24">
        <w:rPr>
          <w:u w:val="single"/>
        </w:rPr>
        <w:t>Motion</w:t>
      </w:r>
      <w:r>
        <w:t>.  Upon written motion, a party in interest may seek the entry of a final decree at any time after the confirmed plan has been fully administered provided that all required fees due under 28 U.S.C. § 1930 have been paid.  Such motion shall include a proposed final decree order that (</w:t>
      </w:r>
      <w:proofErr w:type="spellStart"/>
      <w:r>
        <w:t>i</w:t>
      </w:r>
      <w:proofErr w:type="spellEnd"/>
      <w:r>
        <w:t>) orders the closing of the case and (ii) identifies in the caption and in the body of the order the case name and the case number of each case to be closed under the order.</w:t>
      </w:r>
    </w:p>
    <w:p w:rsidR="004768A4" w:rsidRDefault="004768A4" w:rsidP="004768A4">
      <w:pPr>
        <w:pStyle w:val="ShortOutlineStyle3"/>
      </w:pPr>
      <w:r w:rsidRPr="00DC67D6">
        <w:rPr>
          <w:u w:val="single"/>
        </w:rPr>
        <w:t>Service</w:t>
      </w:r>
      <w:r>
        <w:t xml:space="preserve">.  A motion for the entry of a final decree shall be served upon the debtor, the trustee, if any, the United States Trustee, all official committees and all creditors who have filed a request for notice under Fed. R. </w:t>
      </w:r>
      <w:proofErr w:type="spellStart"/>
      <w:r>
        <w:t>Bankr</w:t>
      </w:r>
      <w:proofErr w:type="spellEnd"/>
      <w:r>
        <w:t xml:space="preserve">. P. 2002 and Local Rule 9013-1, at least twenty-one (21) days prior to the hearing on the motion.  </w:t>
      </w:r>
    </w:p>
    <w:p w:rsidR="004768A4" w:rsidRDefault="004768A4" w:rsidP="004768A4">
      <w:pPr>
        <w:pStyle w:val="ShortOutlineStyle3"/>
      </w:pPr>
      <w:r w:rsidRPr="00DC67D6">
        <w:rPr>
          <w:u w:val="single"/>
        </w:rPr>
        <w:t>Final Report</w:t>
      </w:r>
      <w:r>
        <w:t>.  The debtor (or trustee, if any) shall file a final report and account in the form prescribed by the United States Trustee on or before fourteen (14) days prior to the hearing on any motion to close the case.</w:t>
      </w:r>
    </w:p>
    <w:p w:rsidR="004768A4" w:rsidRDefault="004768A4" w:rsidP="004768A4">
      <w:pPr>
        <w:pStyle w:val="ShortOutlineStyle3"/>
      </w:pPr>
      <w:r w:rsidRPr="008E00BC">
        <w:rPr>
          <w:u w:val="single"/>
        </w:rPr>
        <w:t>Discharge</w:t>
      </w:r>
      <w:r>
        <w:t xml:space="preserve">.  </w:t>
      </w:r>
      <w:r w:rsidRPr="008E00BC">
        <w:t xml:space="preserve">In a case in which the debtor is an individual, </w:t>
      </w:r>
      <w:r>
        <w:t xml:space="preserve">upon completion of plan payments, </w:t>
      </w:r>
      <w:r w:rsidRPr="008E00BC">
        <w:t>debtor and debtor</w:t>
      </w:r>
      <w:r>
        <w:t>'</w:t>
      </w:r>
      <w:r w:rsidRPr="008E00BC">
        <w:t xml:space="preserve">s counsel shall file </w:t>
      </w:r>
      <w:r>
        <w:t xml:space="preserve">with the Court a motion for entry of a discharge </w:t>
      </w:r>
      <w:r w:rsidRPr="008E00BC">
        <w:t>a</w:t>
      </w:r>
      <w:r>
        <w:t>nd</w:t>
      </w:r>
      <w:r w:rsidRPr="008E00BC">
        <w:t xml:space="preserve"> </w:t>
      </w:r>
      <w:r>
        <w:t xml:space="preserve">a </w:t>
      </w:r>
      <w:r w:rsidRPr="008E00BC">
        <w:t>Certification</w:t>
      </w:r>
      <w:r>
        <w:t>,</w:t>
      </w:r>
      <w:r w:rsidRPr="008E00BC">
        <w:t xml:space="preserve"> substantially in the form of Local For</w:t>
      </w:r>
      <w:r>
        <w:t xml:space="preserve">m 104A, </w:t>
      </w:r>
      <w:proofErr w:type="gramStart"/>
      <w:r>
        <w:t>in order to</w:t>
      </w:r>
      <w:proofErr w:type="gramEnd"/>
      <w:r>
        <w:t xml:space="preserve"> comply with </w:t>
      </w:r>
      <w:r w:rsidRPr="008E00BC">
        <w:t>11 U</w:t>
      </w:r>
      <w:r>
        <w:t>.</w:t>
      </w:r>
      <w:r w:rsidRPr="008E00BC">
        <w:t>S</w:t>
      </w:r>
      <w:r>
        <w:t>.</w:t>
      </w:r>
      <w:r w:rsidRPr="008E00BC">
        <w:t>C</w:t>
      </w:r>
      <w:r>
        <w:t>. § 1141 and obtain a discharge</w:t>
      </w:r>
      <w:r w:rsidRPr="008E00BC">
        <w:t>.</w:t>
      </w:r>
    </w:p>
    <w:p w:rsidR="00160F5F" w:rsidRDefault="00160F5F">
      <w:bookmarkStart w:id="1" w:name="_GoBack"/>
      <w:bookmarkEnd w:id="1"/>
    </w:p>
    <w:sectPr w:rsidR="00160F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AC" w:rsidRDefault="00B238AC" w:rsidP="00B238AC">
      <w:pPr>
        <w:spacing w:after="0" w:line="240" w:lineRule="auto"/>
      </w:pPr>
      <w:r>
        <w:separator/>
      </w:r>
    </w:p>
  </w:endnote>
  <w:endnote w:type="continuationSeparator" w:id="0">
    <w:p w:rsidR="00B238AC" w:rsidRDefault="00B238AC" w:rsidP="00B2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AC" w:rsidRPr="00B238AC" w:rsidRDefault="004768A4" w:rsidP="00B238AC">
    <w:pPr>
      <w:pStyle w:val="Footer"/>
      <w:jc w:val="center"/>
      <w:rPr>
        <w:rFonts w:ascii="Courier New" w:hAnsi="Courier New" w:cs="Courier New"/>
        <w:sz w:val="24"/>
        <w:szCs w:val="24"/>
      </w:rPr>
    </w:pPr>
    <w:r>
      <w:rPr>
        <w:rFonts w:ascii="Courier New" w:hAnsi="Courier New" w:cs="Courier New"/>
        <w:sz w:val="24"/>
        <w:szCs w:val="24"/>
      </w:rPr>
      <w:t>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AC" w:rsidRDefault="00B238AC" w:rsidP="00B238AC">
      <w:pPr>
        <w:spacing w:after="0" w:line="240" w:lineRule="auto"/>
      </w:pPr>
      <w:r>
        <w:separator/>
      </w:r>
    </w:p>
  </w:footnote>
  <w:footnote w:type="continuationSeparator" w:id="0">
    <w:p w:rsidR="00B238AC" w:rsidRDefault="00B238AC" w:rsidP="00B23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C"/>
    <w:rsid w:val="00160F5F"/>
    <w:rsid w:val="004768A4"/>
    <w:rsid w:val="00B03B59"/>
    <w:rsid w:val="00B238AC"/>
    <w:rsid w:val="00BA4EBA"/>
    <w:rsid w:val="00DB673A"/>
    <w:rsid w:val="00E8206D"/>
    <w:rsid w:val="00F8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780C"/>
  <w15:chartTrackingRefBased/>
  <w15:docId w15:val="{212A5B67-5C81-406C-BA86-76B7807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B238AC"/>
    <w:pPr>
      <w:numPr>
        <w:numId w:val="1"/>
      </w:numPr>
      <w:spacing w:before="240" w:after="240" w:line="240" w:lineRule="auto"/>
      <w:outlineLvl w:val="0"/>
    </w:pPr>
    <w:rPr>
      <w:rFonts w:ascii="Courier New" w:eastAsia="SimSun" w:hAnsi="Courier New" w:cs="Times New Roman"/>
      <w:b/>
      <w:sz w:val="24"/>
      <w:szCs w:val="24"/>
      <w:lang w:eastAsia="zh-CN"/>
    </w:rPr>
  </w:style>
  <w:style w:type="paragraph" w:customStyle="1" w:styleId="ShortOutlineStyle2">
    <w:name w:val="ShortOutlineStyle2"/>
    <w:basedOn w:val="Normal"/>
    <w:rsid w:val="00B238AC"/>
    <w:pPr>
      <w:numPr>
        <w:ilvl w:val="1"/>
        <w:numId w:val="1"/>
      </w:numPr>
      <w:spacing w:before="240" w:after="240" w:line="240" w:lineRule="auto"/>
      <w:outlineLvl w:val="1"/>
    </w:pPr>
    <w:rPr>
      <w:rFonts w:ascii="Courier New" w:eastAsia="SimSun" w:hAnsi="Courier New" w:cs="Times New Roman"/>
      <w:b/>
      <w:color w:val="000000"/>
      <w:sz w:val="24"/>
      <w:szCs w:val="24"/>
      <w:lang w:eastAsia="zh-CN"/>
    </w:rPr>
  </w:style>
  <w:style w:type="paragraph" w:customStyle="1" w:styleId="ShortOutlineStyle3">
    <w:name w:val="ShortOutlineStyle3"/>
    <w:basedOn w:val="Normal"/>
    <w:rsid w:val="00B238AC"/>
    <w:pPr>
      <w:numPr>
        <w:ilvl w:val="2"/>
        <w:numId w:val="1"/>
      </w:numPr>
      <w:spacing w:before="240" w:after="240" w:line="240" w:lineRule="auto"/>
      <w:outlineLvl w:val="2"/>
    </w:pPr>
    <w:rPr>
      <w:rFonts w:ascii="Courier New" w:eastAsia="SimSun" w:hAnsi="Courier New" w:cs="Times New Roman"/>
      <w:color w:val="000000"/>
      <w:sz w:val="24"/>
      <w:szCs w:val="24"/>
      <w:lang w:eastAsia="zh-CN"/>
    </w:rPr>
  </w:style>
  <w:style w:type="paragraph" w:customStyle="1" w:styleId="ShortOutlineStyle4">
    <w:name w:val="ShortOutlineStyle4"/>
    <w:basedOn w:val="Normal"/>
    <w:rsid w:val="00B238AC"/>
    <w:pPr>
      <w:numPr>
        <w:ilvl w:val="3"/>
        <w:numId w:val="1"/>
      </w:numPr>
      <w:spacing w:before="240" w:after="240" w:line="240" w:lineRule="auto"/>
      <w:outlineLvl w:val="3"/>
    </w:pPr>
    <w:rPr>
      <w:rFonts w:ascii="Courier New" w:eastAsia="SimSun" w:hAnsi="Courier New" w:cs="Times New Roman"/>
      <w:color w:val="000000"/>
      <w:sz w:val="24"/>
      <w:szCs w:val="24"/>
      <w:lang w:eastAsia="zh-CN"/>
    </w:rPr>
  </w:style>
  <w:style w:type="paragraph" w:customStyle="1" w:styleId="ShortOutlineStyle5">
    <w:name w:val="ShortOutlineStyle5"/>
    <w:basedOn w:val="Normal"/>
    <w:rsid w:val="00B238AC"/>
    <w:pPr>
      <w:numPr>
        <w:ilvl w:val="4"/>
        <w:numId w:val="1"/>
      </w:numPr>
      <w:spacing w:before="240" w:after="240" w:line="240" w:lineRule="auto"/>
      <w:outlineLvl w:val="4"/>
    </w:pPr>
    <w:rPr>
      <w:rFonts w:ascii="Courier New" w:eastAsia="SimSun" w:hAnsi="Courier New" w:cs="Times New Roman"/>
      <w:color w:val="000000"/>
      <w:sz w:val="24"/>
      <w:szCs w:val="24"/>
      <w:lang w:eastAsia="zh-CN"/>
    </w:rPr>
  </w:style>
  <w:style w:type="paragraph" w:customStyle="1" w:styleId="ShortOutlineStyle2text">
    <w:name w:val="ShortOutlineStyle2_text"/>
    <w:basedOn w:val="Normal"/>
    <w:next w:val="ShortOutlineStyle2"/>
    <w:rsid w:val="00B238AC"/>
    <w:pPr>
      <w:spacing w:after="240" w:line="240" w:lineRule="auto"/>
    </w:pPr>
    <w:rPr>
      <w:rFonts w:ascii="Courier New" w:eastAsia="SimSun" w:hAnsi="Courier New" w:cs="Times New Roman"/>
      <w:sz w:val="24"/>
      <w:szCs w:val="24"/>
      <w:lang w:eastAsia="zh-CN"/>
    </w:rPr>
  </w:style>
  <w:style w:type="paragraph" w:customStyle="1" w:styleId="ShortOutlineStyle6">
    <w:name w:val="ShortOutlineStyle6"/>
    <w:basedOn w:val="ShortOutlineStyle5"/>
    <w:rsid w:val="00B238AC"/>
    <w:pPr>
      <w:numPr>
        <w:ilvl w:val="5"/>
      </w:numPr>
    </w:pPr>
  </w:style>
  <w:style w:type="paragraph" w:customStyle="1" w:styleId="ShortOutlineStyle7">
    <w:name w:val="ShortOutlineStyle7"/>
    <w:basedOn w:val="ShortOutlineStyle6"/>
    <w:rsid w:val="00B238AC"/>
    <w:pPr>
      <w:numPr>
        <w:ilvl w:val="6"/>
      </w:numPr>
    </w:pPr>
  </w:style>
  <w:style w:type="paragraph" w:styleId="Header">
    <w:name w:val="header"/>
    <w:basedOn w:val="Normal"/>
    <w:link w:val="HeaderChar"/>
    <w:uiPriority w:val="99"/>
    <w:unhideWhenUsed/>
    <w:rsid w:val="00B2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AC"/>
  </w:style>
  <w:style w:type="paragraph" w:styleId="Footer">
    <w:name w:val="footer"/>
    <w:basedOn w:val="Normal"/>
    <w:link w:val="FooterChar"/>
    <w:uiPriority w:val="99"/>
    <w:unhideWhenUsed/>
    <w:rsid w:val="00B2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5</cp:revision>
  <dcterms:created xsi:type="dcterms:W3CDTF">2019-01-30T21:18:00Z</dcterms:created>
  <dcterms:modified xsi:type="dcterms:W3CDTF">2019-01-30T21:28:00Z</dcterms:modified>
</cp:coreProperties>
</file>