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0F" w:rsidRPr="000F4DD7" w:rsidRDefault="004C1B0F" w:rsidP="004C1B0F">
      <w:pPr>
        <w:pStyle w:val="ShortOutlineStyle2"/>
        <w:spacing w:before="0"/>
        <w:rPr>
          <w:vanish/>
          <w:color w:val="FF0000"/>
          <w:specVanish/>
        </w:rPr>
      </w:pPr>
      <w:bookmarkStart w:id="0" w:name="_Toc505164069"/>
      <w:r w:rsidRPr="00F41FDB">
        <w:t>Rule 9010-1</w:t>
      </w:r>
      <w:r w:rsidRPr="00F41FDB">
        <w:tab/>
      </w:r>
      <w:r w:rsidRPr="000F4DD7">
        <w:rPr>
          <w:u w:val="single"/>
        </w:rPr>
        <w:t>Bar Admission</w:t>
      </w:r>
      <w:bookmarkEnd w:id="0"/>
    </w:p>
    <w:p w:rsidR="004C1B0F" w:rsidRPr="00F41FDB" w:rsidRDefault="004C1B0F" w:rsidP="004C1B0F">
      <w:pPr>
        <w:pStyle w:val="ShortOutlineStyle2text"/>
      </w:pPr>
      <w:r w:rsidRPr="00F41FDB">
        <w:t>.</w:t>
      </w:r>
    </w:p>
    <w:p w:rsidR="004C1B0F" w:rsidRPr="00F41FDB" w:rsidRDefault="004C1B0F" w:rsidP="004C1B0F">
      <w:pPr>
        <w:pStyle w:val="ShortOutlineStyle3"/>
      </w:pPr>
      <w:r w:rsidRPr="00F41FDB">
        <w:rPr>
          <w:u w:val="single"/>
        </w:rPr>
        <w:t>The Bar of this Court</w:t>
      </w:r>
      <w:r w:rsidRPr="00F41FDB">
        <w:t xml:space="preserve">.  The Bar of this Court shall consist of those persons heretofore admitted to practice in the </w:t>
      </w:r>
      <w:proofErr w:type="gramStart"/>
      <w:r w:rsidRPr="00F41FDB">
        <w:t>District  Court</w:t>
      </w:r>
      <w:proofErr w:type="gramEnd"/>
      <w:r w:rsidRPr="00F41FDB">
        <w:t xml:space="preserve"> and those who may hereafter be admitted in accordance with these Rules.</w:t>
      </w:r>
    </w:p>
    <w:p w:rsidR="004C1B0F" w:rsidRPr="00F41FDB" w:rsidRDefault="004C1B0F" w:rsidP="004C1B0F">
      <w:pPr>
        <w:pStyle w:val="ShortOutlineStyle3"/>
      </w:pPr>
      <w:r w:rsidRPr="00F41FDB">
        <w:rPr>
          <w:u w:val="single"/>
        </w:rPr>
        <w:t xml:space="preserve">Admission Pro </w:t>
      </w:r>
      <w:proofErr w:type="spellStart"/>
      <w:r w:rsidRPr="00F41FDB">
        <w:rPr>
          <w:u w:val="single"/>
        </w:rPr>
        <w:t>Hac</w:t>
      </w:r>
      <w:proofErr w:type="spellEnd"/>
      <w:r w:rsidRPr="00F41FDB">
        <w:rPr>
          <w:u w:val="single"/>
        </w:rPr>
        <w:t xml:space="preserve"> Vice</w:t>
      </w:r>
      <w:r w:rsidRPr="00F41FDB">
        <w:t xml:space="preserve">.  Attorneys admitted, practicing, and in good standing in another jurisdiction, who are not admitted to practice by the Supreme Court of the State of Delaware and the District Court, may be admitted pro </w:t>
      </w:r>
      <w:proofErr w:type="spellStart"/>
      <w:r w:rsidRPr="00F41FDB">
        <w:t>hac</w:t>
      </w:r>
      <w:proofErr w:type="spellEnd"/>
      <w:r w:rsidRPr="00F41FDB">
        <w:t xml:space="preserve"> vice in the discretion of the Court, such admission to be at the pleasure of the Court.  Unless otherwise ordered by the Court, or authorized by the Constitution of the United States or acts of Congress, an applicant is not eligible for permission to practice pro </w:t>
      </w:r>
      <w:proofErr w:type="spellStart"/>
      <w:r w:rsidRPr="00F41FDB">
        <w:t>hac</w:t>
      </w:r>
      <w:proofErr w:type="spellEnd"/>
      <w:r w:rsidRPr="00F41FDB">
        <w:t xml:space="preserve"> vice if the applicant:</w:t>
      </w:r>
    </w:p>
    <w:p w:rsidR="004C1B0F" w:rsidRPr="00F41FDB" w:rsidRDefault="004C1B0F" w:rsidP="004C1B0F">
      <w:pPr>
        <w:pStyle w:val="ShortOutlineStyle4"/>
      </w:pPr>
      <w:r w:rsidRPr="00F41FDB">
        <w:t>Resides in Delaware; or</w:t>
      </w:r>
    </w:p>
    <w:p w:rsidR="004C1B0F" w:rsidRPr="00F41FDB" w:rsidRDefault="004C1B0F" w:rsidP="004C1B0F">
      <w:pPr>
        <w:pStyle w:val="ShortOutlineStyle4"/>
      </w:pPr>
      <w:r w:rsidRPr="00F41FDB">
        <w:t>Is regularly employed in Delaware; or</w:t>
      </w:r>
    </w:p>
    <w:p w:rsidR="004C1B0F" w:rsidRPr="00F41FDB" w:rsidRDefault="004C1B0F" w:rsidP="004C1B0F">
      <w:pPr>
        <w:pStyle w:val="ShortOutlineStyle4"/>
      </w:pPr>
      <w:r w:rsidRPr="00F41FDB">
        <w:t>Is regularly engaged in business, professional, or other similar activities in Delaware.</w:t>
      </w:r>
    </w:p>
    <w:p w:rsidR="004C1B0F" w:rsidRDefault="004C1B0F" w:rsidP="004C1B0F">
      <w:pPr>
        <w:pStyle w:val="SingleParaFlush05"/>
      </w:pPr>
      <w:r w:rsidRPr="00F41FDB">
        <w:t xml:space="preserve">Any Judge of the Court may revoke, upon hearing after notice and for good cause, a pro </w:t>
      </w:r>
      <w:proofErr w:type="spellStart"/>
      <w:r w:rsidRPr="00F41FDB">
        <w:t>hac</w:t>
      </w:r>
      <w:proofErr w:type="spellEnd"/>
      <w:r w:rsidRPr="00F41FDB">
        <w:t xml:space="preserve"> vice admission in a case or proceeding before a judge.  The form for admission pro </w:t>
      </w:r>
      <w:proofErr w:type="spellStart"/>
      <w:r w:rsidRPr="00F41FDB">
        <w:t>hac</w:t>
      </w:r>
      <w:proofErr w:type="spellEnd"/>
      <w:r w:rsidRPr="00F41FDB">
        <w:t xml:space="preserve"> vice, which may be amended by the Court, is Local Form 105 and is located on the Court</w:t>
      </w:r>
      <w:r>
        <w:t>'</w:t>
      </w:r>
      <w:r w:rsidRPr="00F41FDB">
        <w:t>s website.</w:t>
      </w:r>
    </w:p>
    <w:p w:rsidR="004C1B0F" w:rsidRDefault="004C1B0F" w:rsidP="004C1B0F">
      <w:pPr>
        <w:pStyle w:val="ShortOutlineStyle3"/>
      </w:pPr>
      <w:r w:rsidRPr="00F41FDB">
        <w:rPr>
          <w:u w:val="single"/>
        </w:rPr>
        <w:t>Association with Delaware Counsel Required</w:t>
      </w:r>
      <w:r w:rsidRPr="00F41FDB">
        <w:t xml:space="preserve">.  Unless otherwise ordered, an attorney not admitted to practice by the District Court and the Supreme Court of the State of Delaware may not be admitted pro </w:t>
      </w:r>
      <w:proofErr w:type="spellStart"/>
      <w:r w:rsidRPr="00F41FDB">
        <w:t>hac</w:t>
      </w:r>
      <w:proofErr w:type="spellEnd"/>
      <w:r w:rsidRPr="00F41FDB">
        <w:t xml:space="preserve"> vice unless associated with an attorney who is a member of the Bar of the District Court and who maintains an office in the District of Delaware for the regular transaction of business (</w:t>
      </w:r>
      <w:r>
        <w:t>"</w:t>
      </w:r>
      <w:r w:rsidRPr="00F41FDB">
        <w:t>Delaware counsel</w:t>
      </w:r>
      <w:r>
        <w:t>"</w:t>
      </w:r>
      <w:r w:rsidRPr="00F41FDB">
        <w:t>).  Consistent with CM/ECF Procedures, Delaware counsel shall be the registered users of CM/ECF and shall be required to file all papers.  Unless otherwise ordered, Delaware counsel shall attend proceedings before the Court.</w:t>
      </w:r>
    </w:p>
    <w:p w:rsidR="004C1B0F" w:rsidRPr="00F41FDB" w:rsidRDefault="004C1B0F" w:rsidP="004C1B0F">
      <w:pPr>
        <w:pStyle w:val="ShortOutlineStyle3"/>
      </w:pPr>
      <w:r w:rsidRPr="00F41FDB">
        <w:rPr>
          <w:u w:val="single"/>
        </w:rPr>
        <w:t>Time to Obtain Delaware Counsel</w:t>
      </w:r>
      <w:r w:rsidRPr="00F41FDB">
        <w:t xml:space="preserve">.  A party not appearing </w:t>
      </w:r>
      <w:r w:rsidRPr="00790FD7">
        <w:rPr>
          <w:i/>
        </w:rPr>
        <w:t>pro se</w:t>
      </w:r>
      <w:r w:rsidRPr="00F41FDB">
        <w:t xml:space="preserve"> shall obtain representation by a member of the Bar of the District Court or have its counsel associate with a member of the Bar of the District Court in accordance with (paragraph (c) above) within </w:t>
      </w:r>
      <w:r>
        <w:t>twenty-eight (28</w:t>
      </w:r>
      <w:r w:rsidRPr="00F41FDB">
        <w:t>) days after:</w:t>
      </w:r>
    </w:p>
    <w:p w:rsidR="004C1B0F" w:rsidRPr="00F41FDB" w:rsidRDefault="004C1B0F" w:rsidP="004C1B0F">
      <w:pPr>
        <w:pStyle w:val="ShortOutlineStyle4"/>
      </w:pPr>
      <w:r w:rsidRPr="00F41FDB">
        <w:lastRenderedPageBreak/>
        <w:t>The filing of the first paper filed on its behalf; or</w:t>
      </w:r>
    </w:p>
    <w:p w:rsidR="004C1B0F" w:rsidRPr="00F41FDB" w:rsidRDefault="004C1B0F" w:rsidP="004C1B0F">
      <w:pPr>
        <w:pStyle w:val="ShortOutlineStyle4"/>
      </w:pPr>
      <w:r w:rsidRPr="00F41FDB">
        <w:t>The filing of a case transferred or removed to this Court.</w:t>
      </w:r>
    </w:p>
    <w:p w:rsidR="004C1B0F" w:rsidRPr="00F41FDB" w:rsidRDefault="004C1B0F" w:rsidP="004C1B0F">
      <w:pPr>
        <w:pStyle w:val="SingleParaFlush05"/>
      </w:pPr>
      <w:r w:rsidRPr="00F41FDB">
        <w:t>Failure to timely obtain such representation shall subject the defaulting party to appropriate sanctions.</w:t>
      </w:r>
    </w:p>
    <w:p w:rsidR="004C1B0F" w:rsidRDefault="004C1B0F" w:rsidP="004C1B0F">
      <w:pPr>
        <w:pStyle w:val="ShortOutlineStyle3"/>
        <w:keepNext/>
      </w:pPr>
      <w:r>
        <w:rPr>
          <w:u w:val="single"/>
        </w:rPr>
        <w:t xml:space="preserve">Motion for Pro </w:t>
      </w:r>
      <w:proofErr w:type="spellStart"/>
      <w:r>
        <w:rPr>
          <w:u w:val="single"/>
        </w:rPr>
        <w:t>Hac</w:t>
      </w:r>
      <w:proofErr w:type="spellEnd"/>
      <w:r>
        <w:rPr>
          <w:u w:val="single"/>
        </w:rPr>
        <w:t xml:space="preserve"> Vice and </w:t>
      </w:r>
      <w:r w:rsidRPr="000F4DD7">
        <w:rPr>
          <w:u w:val="single"/>
        </w:rPr>
        <w:t xml:space="preserve">Association with Delaware Counsel </w:t>
      </w:r>
      <w:proofErr w:type="gramStart"/>
      <w:r w:rsidRPr="000F4DD7">
        <w:rPr>
          <w:u w:val="single"/>
        </w:rPr>
        <w:t>not</w:t>
      </w:r>
      <w:proofErr w:type="gramEnd"/>
      <w:r w:rsidRPr="000F4DD7">
        <w:rPr>
          <w:u w:val="single"/>
        </w:rPr>
        <w:t xml:space="preserve"> Required</w:t>
      </w:r>
      <w:r w:rsidRPr="00F41FDB">
        <w:t>.</w:t>
      </w:r>
    </w:p>
    <w:p w:rsidR="004C1B0F" w:rsidRPr="00F41FDB" w:rsidRDefault="004C1B0F" w:rsidP="004C1B0F">
      <w:pPr>
        <w:pStyle w:val="ShortOutlineStyle4"/>
      </w:pPr>
      <w:r w:rsidRPr="00F41FDB">
        <w:rPr>
          <w:u w:val="single"/>
        </w:rPr>
        <w:t>Government Attorneys</w:t>
      </w:r>
      <w:r w:rsidRPr="00F41FDB">
        <w:t>.  An attorney not admitted in the District Court but admitted in another United States District Court may appear representing the United States of America (or any officer or agency thereof) or an</w:t>
      </w:r>
      <w:r>
        <w:t>y s</w:t>
      </w:r>
      <w:r w:rsidRPr="00F41FDB">
        <w:t xml:space="preserve">tate </w:t>
      </w:r>
      <w:r>
        <w:t xml:space="preserve">or local government </w:t>
      </w:r>
      <w:r w:rsidRPr="00F41FDB">
        <w:t>(or officer or agency thereof) so long as a certification is filed, signed by that attorney, stating (a) the courts in which the attorney is admitted, (b) that the attorney is in good standing in all jurisdictions in which he or she has been admitted and (c) that the attorney will be bound by these Local Rules and that the attorney submits to the jurisdiction of this Court for disciplinary purposes.</w:t>
      </w:r>
    </w:p>
    <w:p w:rsidR="004C1B0F" w:rsidRPr="00F41FDB" w:rsidRDefault="004C1B0F" w:rsidP="004C1B0F">
      <w:pPr>
        <w:pStyle w:val="ShortOutlineStyle4"/>
      </w:pPr>
      <w:r w:rsidRPr="00F41FDB">
        <w:rPr>
          <w:u w:val="single"/>
        </w:rPr>
        <w:t>Delaware Attorney with Out of State Office</w:t>
      </w:r>
      <w:r w:rsidRPr="00F41FDB">
        <w:t>.  Attorneys who are admitted to the Bar of the District Court and in good standing, but who do not maintain an office in the District of Delaware, may appear on behalf of parties upon approval by the Court.</w:t>
      </w:r>
    </w:p>
    <w:p w:rsidR="004C1B0F" w:rsidRDefault="004C1B0F" w:rsidP="004C1B0F">
      <w:pPr>
        <w:pStyle w:val="ShortOutlineStyle4"/>
      </w:pPr>
      <w:r w:rsidRPr="00F41FDB">
        <w:rPr>
          <w:u w:val="single"/>
        </w:rPr>
        <w:t>Claim Litigation</w:t>
      </w:r>
      <w:r w:rsidRPr="00F41FDB">
        <w:t xml:space="preserve">.  Parties </w:t>
      </w:r>
      <w:r>
        <w:t>(</w:t>
      </w:r>
      <w:r w:rsidRPr="00790FD7">
        <w:rPr>
          <w:i/>
        </w:rPr>
        <w:t>pro se</w:t>
      </w:r>
      <w:r>
        <w:t xml:space="preserve"> or through out of state counsel) </w:t>
      </w:r>
      <w:r w:rsidRPr="00F41FDB">
        <w:t>may file or prosecute a proof of claim or a response to their claim.  The Court may, however, direct the claimant to consult with Delaware counsel if the claim litigation will involve extensive discovery or trial time.</w:t>
      </w:r>
    </w:p>
    <w:p w:rsidR="0027373E" w:rsidRDefault="004C1B0F" w:rsidP="004C1B0F">
      <w:r w:rsidRPr="00FC6332">
        <w:rPr>
          <w:u w:val="single"/>
        </w:rPr>
        <w:t>Standards for Professional Conduct</w:t>
      </w:r>
      <w:r>
        <w:t>.  Subject to such modifications as may be required or permitted by federal statute, court rule or decision, all attorneys admitted or authorized to practice before this Court, including attorneys admitted on motion or otherwise, shall also be governed by the Model Rules of Professional Conduct of the American Bar Association, as may be amended from time to time.</w:t>
      </w:r>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4950"/>
        </w:tabs>
        <w:ind w:left="495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0F"/>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70E7C"/>
    <w:rsid w:val="00480BA2"/>
    <w:rsid w:val="00482268"/>
    <w:rsid w:val="00485003"/>
    <w:rsid w:val="004B3F2E"/>
    <w:rsid w:val="004B50D3"/>
    <w:rsid w:val="004B76A2"/>
    <w:rsid w:val="004C1B0F"/>
    <w:rsid w:val="005153D4"/>
    <w:rsid w:val="0053757E"/>
    <w:rsid w:val="00541671"/>
    <w:rsid w:val="005507B0"/>
    <w:rsid w:val="005F4DB3"/>
    <w:rsid w:val="00603C60"/>
    <w:rsid w:val="00612076"/>
    <w:rsid w:val="00632920"/>
    <w:rsid w:val="0065422D"/>
    <w:rsid w:val="00671535"/>
    <w:rsid w:val="00680746"/>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234BB"/>
    <w:rsid w:val="00953384"/>
    <w:rsid w:val="00955803"/>
    <w:rsid w:val="009A2455"/>
    <w:rsid w:val="009B08F2"/>
    <w:rsid w:val="009C0E7B"/>
    <w:rsid w:val="00A022A0"/>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74BD-2A8A-4F7B-8D24-809EE54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B0F"/>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4C1B0F"/>
    <w:pPr>
      <w:numPr>
        <w:numId w:val="1"/>
      </w:numPr>
      <w:tabs>
        <w:tab w:val="clear" w:pos="4950"/>
        <w:tab w:val="num" w:pos="1800"/>
      </w:tabs>
      <w:spacing w:before="240" w:after="240"/>
      <w:ind w:left="1800"/>
      <w:outlineLvl w:val="0"/>
    </w:pPr>
    <w:rPr>
      <w:b/>
    </w:rPr>
  </w:style>
  <w:style w:type="paragraph" w:customStyle="1" w:styleId="ShortOutlineStyle2">
    <w:name w:val="ShortOutlineStyle2"/>
    <w:basedOn w:val="Normal"/>
    <w:rsid w:val="004C1B0F"/>
    <w:pPr>
      <w:numPr>
        <w:ilvl w:val="1"/>
        <w:numId w:val="1"/>
      </w:numPr>
      <w:spacing w:before="240" w:after="240"/>
      <w:outlineLvl w:val="1"/>
    </w:pPr>
    <w:rPr>
      <w:b/>
      <w:color w:val="000000"/>
    </w:rPr>
  </w:style>
  <w:style w:type="paragraph" w:customStyle="1" w:styleId="ShortOutlineStyle3">
    <w:name w:val="ShortOutlineStyle3"/>
    <w:basedOn w:val="Normal"/>
    <w:rsid w:val="004C1B0F"/>
    <w:pPr>
      <w:numPr>
        <w:ilvl w:val="2"/>
        <w:numId w:val="1"/>
      </w:numPr>
      <w:spacing w:before="240" w:after="240"/>
      <w:outlineLvl w:val="2"/>
    </w:pPr>
    <w:rPr>
      <w:color w:val="000000"/>
    </w:rPr>
  </w:style>
  <w:style w:type="paragraph" w:customStyle="1" w:styleId="ShortOutlineStyle4">
    <w:name w:val="ShortOutlineStyle4"/>
    <w:basedOn w:val="Normal"/>
    <w:rsid w:val="004C1B0F"/>
    <w:pPr>
      <w:numPr>
        <w:ilvl w:val="3"/>
        <w:numId w:val="1"/>
      </w:numPr>
      <w:spacing w:before="240" w:after="240"/>
      <w:outlineLvl w:val="3"/>
    </w:pPr>
    <w:rPr>
      <w:color w:val="000000"/>
    </w:rPr>
  </w:style>
  <w:style w:type="paragraph" w:customStyle="1" w:styleId="ShortOutlineStyle5">
    <w:name w:val="ShortOutlineStyle5"/>
    <w:basedOn w:val="Normal"/>
    <w:rsid w:val="004C1B0F"/>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4C1B0F"/>
    <w:pPr>
      <w:spacing w:after="240"/>
    </w:pPr>
  </w:style>
  <w:style w:type="paragraph" w:customStyle="1" w:styleId="ShortOutlineStyle6">
    <w:name w:val="ShortOutlineStyle6"/>
    <w:basedOn w:val="ShortOutlineStyle5"/>
    <w:rsid w:val="004C1B0F"/>
    <w:pPr>
      <w:numPr>
        <w:ilvl w:val="5"/>
      </w:numPr>
    </w:pPr>
  </w:style>
  <w:style w:type="paragraph" w:customStyle="1" w:styleId="ShortOutlineStyle7">
    <w:name w:val="ShortOutlineStyle7"/>
    <w:basedOn w:val="ShortOutlineStyle6"/>
    <w:rsid w:val="004C1B0F"/>
    <w:pPr>
      <w:numPr>
        <w:ilvl w:val="6"/>
      </w:numPr>
    </w:pPr>
  </w:style>
  <w:style w:type="paragraph" w:customStyle="1" w:styleId="SingleParaFlush05">
    <w:name w:val="Single Para Flush&gt; 0.5&quot;"/>
    <w:basedOn w:val="Normal"/>
    <w:rsid w:val="004C1B0F"/>
    <w:pPr>
      <w:spacing w:before="240" w:after="240"/>
      <w:ind w:left="720"/>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3307</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2018-01-31T22:14:00Z</dcterms:created>
  <dcterms:modified xsi:type="dcterms:W3CDTF">2018-01-31T22:14:00Z</dcterms:modified>
</cp:coreProperties>
</file>